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AA5" w:rsidRPr="00116AA5" w:rsidRDefault="00116AA5" w:rsidP="00116AA5">
      <w:pPr>
        <w:spacing w:after="0" w:line="240" w:lineRule="auto"/>
        <w:rPr>
          <w:rFonts w:ascii="Arial" w:eastAsia="Times New Roman" w:hAnsi="Arial" w:cs="Arial"/>
          <w:color w:val="000000"/>
          <w:sz w:val="21"/>
          <w:szCs w:val="21"/>
          <w:lang w:eastAsia="it-IT"/>
        </w:rPr>
      </w:pPr>
      <w:proofErr w:type="gramStart"/>
      <w:r w:rsidRPr="00116AA5">
        <w:rPr>
          <w:rFonts w:ascii="Times New Roman" w:eastAsia="Times New Roman" w:hAnsi="Times New Roman" w:cs="Times New Roman"/>
          <w:b/>
          <w:bCs/>
          <w:color w:val="000000"/>
          <w:sz w:val="28"/>
          <w:szCs w:val="28"/>
          <w:u w:val="single"/>
          <w:lang w:eastAsia="it-IT"/>
        </w:rPr>
        <w:t>ASSENZE PER VISITE SPECIALISTICHE: IL TAR LAZIO ANNULLA LA CIRCOLARE N.2 DELLA FUNZIONE PUBBLICA.</w:t>
      </w:r>
      <w:proofErr w:type="gramEnd"/>
    </w:p>
    <w:p w:rsidR="00116AA5" w:rsidRPr="00116AA5" w:rsidRDefault="00116AA5" w:rsidP="00116AA5">
      <w:pPr>
        <w:spacing w:after="0" w:line="240" w:lineRule="auto"/>
        <w:rPr>
          <w:rFonts w:ascii="Times New Roman" w:eastAsia="Times New Roman" w:hAnsi="Times New Roman" w:cs="Times New Roman"/>
          <w:sz w:val="24"/>
          <w:szCs w:val="24"/>
          <w:lang w:eastAsia="it-IT"/>
        </w:rPr>
      </w:pP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Times New Roman" w:eastAsia="Times New Roman" w:hAnsi="Times New Roman" w:cs="Times New Roman"/>
          <w:color w:val="000000"/>
          <w:sz w:val="28"/>
          <w:szCs w:val="28"/>
          <w:lang w:eastAsia="it-IT"/>
        </w:rPr>
        <w:t>Il TAR del Lazio con la sentenza 5714 pubblicata in data 17 aprile 2015 ha annullato la </w:t>
      </w:r>
      <w:r w:rsidRPr="00116AA5">
        <w:rPr>
          <w:rFonts w:ascii="Times New Roman" w:eastAsia="Times New Roman" w:hAnsi="Times New Roman" w:cs="Times New Roman"/>
          <w:b/>
          <w:bCs/>
          <w:color w:val="000000"/>
          <w:sz w:val="28"/>
          <w:szCs w:val="28"/>
          <w:lang w:eastAsia="it-IT"/>
        </w:rPr>
        <w:t>Circolare Ministeriale 2/2014</w:t>
      </w:r>
      <w:r w:rsidRPr="00116AA5">
        <w:rPr>
          <w:rFonts w:ascii="Times New Roman" w:eastAsia="Times New Roman" w:hAnsi="Times New Roman" w:cs="Times New Roman"/>
          <w:color w:val="000000"/>
          <w:sz w:val="28"/>
          <w:szCs w:val="28"/>
          <w:lang w:eastAsia="it-IT"/>
        </w:rPr>
        <w:t> adottata dalla Funzione Pubblica sulle assenze per visite specialistiche e ha affermato che </w:t>
      </w:r>
      <w:r w:rsidRPr="00116AA5">
        <w:rPr>
          <w:rFonts w:ascii="Times New Roman" w:eastAsia="Times New Roman" w:hAnsi="Times New Roman" w:cs="Times New Roman"/>
          <w:b/>
          <w:bCs/>
          <w:color w:val="000000"/>
          <w:sz w:val="28"/>
          <w:szCs w:val="28"/>
          <w:u w:val="single"/>
          <w:lang w:eastAsia="it-IT"/>
        </w:rPr>
        <w:t>l’Amministrazione non può emanare una circolare ministeriale per cambiare unilateralmente quanto stabilisce e regola il contratto.</w:t>
      </w:r>
    </w:p>
    <w:p w:rsidR="00116AA5" w:rsidRPr="00116AA5" w:rsidRDefault="00116AA5" w:rsidP="00116AA5">
      <w:pPr>
        <w:spacing w:after="0" w:line="240" w:lineRule="auto"/>
        <w:rPr>
          <w:rFonts w:ascii="Times New Roman" w:eastAsia="Times New Roman" w:hAnsi="Times New Roman" w:cs="Times New Roman"/>
          <w:sz w:val="24"/>
          <w:szCs w:val="24"/>
          <w:lang w:eastAsia="it-IT"/>
        </w:rPr>
      </w:pP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Times New Roman" w:eastAsia="Times New Roman" w:hAnsi="Times New Roman" w:cs="Times New Roman"/>
          <w:color w:val="080000"/>
          <w:sz w:val="28"/>
          <w:szCs w:val="28"/>
          <w:lang w:eastAsia="it-IT"/>
        </w:rPr>
        <w:t>Come si ricorderà, in merito alle assenze per visite specialistiche, avevamo ampiamente argomentato e motivato la nostra posizione affermando che la modifica apportata dal D.L. 101/2013 al comma 5-</w:t>
      </w:r>
      <w:r w:rsidRPr="00116AA5">
        <w:rPr>
          <w:rFonts w:ascii="Times New Roman" w:eastAsia="Times New Roman" w:hAnsi="Times New Roman" w:cs="Times New Roman"/>
          <w:i/>
          <w:iCs/>
          <w:color w:val="080000"/>
          <w:sz w:val="28"/>
          <w:szCs w:val="28"/>
          <w:lang w:eastAsia="it-IT"/>
        </w:rPr>
        <w:t>ter</w:t>
      </w:r>
      <w:r w:rsidRPr="00116AA5">
        <w:rPr>
          <w:rFonts w:ascii="Times New Roman" w:eastAsia="Times New Roman" w:hAnsi="Times New Roman" w:cs="Times New Roman"/>
          <w:color w:val="080000"/>
          <w:sz w:val="28"/>
          <w:szCs w:val="28"/>
          <w:lang w:eastAsia="it-IT"/>
        </w:rPr>
        <w:t> dell’art. 55-</w:t>
      </w:r>
      <w:r w:rsidRPr="00116AA5">
        <w:rPr>
          <w:rFonts w:ascii="Times New Roman" w:eastAsia="Times New Roman" w:hAnsi="Times New Roman" w:cs="Times New Roman"/>
          <w:i/>
          <w:iCs/>
          <w:color w:val="080000"/>
          <w:sz w:val="28"/>
          <w:szCs w:val="28"/>
          <w:lang w:eastAsia="it-IT"/>
        </w:rPr>
        <w:t>septies</w:t>
      </w:r>
      <w:r w:rsidRPr="00116AA5">
        <w:rPr>
          <w:rFonts w:ascii="Times New Roman" w:eastAsia="Times New Roman" w:hAnsi="Times New Roman" w:cs="Times New Roman"/>
          <w:color w:val="080000"/>
          <w:sz w:val="28"/>
          <w:szCs w:val="28"/>
          <w:lang w:eastAsia="it-IT"/>
        </w:rPr>
        <w:t xml:space="preserve"> del </w:t>
      </w:r>
      <w:proofErr w:type="spellStart"/>
      <w:r w:rsidRPr="00116AA5">
        <w:rPr>
          <w:rFonts w:ascii="Times New Roman" w:eastAsia="Times New Roman" w:hAnsi="Times New Roman" w:cs="Times New Roman"/>
          <w:color w:val="080000"/>
          <w:sz w:val="28"/>
          <w:szCs w:val="28"/>
          <w:lang w:eastAsia="it-IT"/>
        </w:rPr>
        <w:t>Dlgs</w:t>
      </w:r>
      <w:proofErr w:type="spellEnd"/>
      <w:r w:rsidRPr="00116AA5">
        <w:rPr>
          <w:rFonts w:ascii="Times New Roman" w:eastAsia="Times New Roman" w:hAnsi="Times New Roman" w:cs="Times New Roman"/>
          <w:color w:val="080000"/>
          <w:sz w:val="28"/>
          <w:szCs w:val="28"/>
          <w:lang w:eastAsia="it-IT"/>
        </w:rPr>
        <w:t xml:space="preserve"> 165/2001, che ha previsto l’inserimento del concetto di</w:t>
      </w:r>
      <w:r w:rsidRPr="00116AA5">
        <w:rPr>
          <w:rFonts w:ascii="Times New Roman" w:eastAsia="Times New Roman" w:hAnsi="Times New Roman" w:cs="Times New Roman"/>
          <w:b/>
          <w:bCs/>
          <w:color w:val="080000"/>
          <w:sz w:val="28"/>
          <w:szCs w:val="28"/>
          <w:lang w:eastAsia="it-IT"/>
        </w:rPr>
        <w:t> “</w:t>
      </w:r>
      <w:r w:rsidRPr="00116AA5">
        <w:rPr>
          <w:rFonts w:ascii="Times New Roman" w:eastAsia="Times New Roman" w:hAnsi="Times New Roman" w:cs="Times New Roman"/>
          <w:b/>
          <w:bCs/>
          <w:i/>
          <w:iCs/>
          <w:color w:val="080000"/>
          <w:sz w:val="28"/>
          <w:szCs w:val="28"/>
          <w:lang w:eastAsia="it-IT"/>
        </w:rPr>
        <w:t>permesso</w:t>
      </w:r>
      <w:r w:rsidRPr="00116AA5">
        <w:rPr>
          <w:rFonts w:ascii="Times New Roman" w:eastAsia="Times New Roman" w:hAnsi="Times New Roman" w:cs="Times New Roman"/>
          <w:b/>
          <w:bCs/>
          <w:color w:val="080000"/>
          <w:sz w:val="28"/>
          <w:szCs w:val="28"/>
          <w:lang w:eastAsia="it-IT"/>
        </w:rPr>
        <w:t>” e di “</w:t>
      </w:r>
      <w:r w:rsidRPr="00116AA5">
        <w:rPr>
          <w:rFonts w:ascii="Times New Roman" w:eastAsia="Times New Roman" w:hAnsi="Times New Roman" w:cs="Times New Roman"/>
          <w:b/>
          <w:bCs/>
          <w:i/>
          <w:iCs/>
          <w:color w:val="080000"/>
          <w:sz w:val="28"/>
          <w:szCs w:val="28"/>
          <w:lang w:eastAsia="it-IT"/>
        </w:rPr>
        <w:t>giustificazione dell’orario</w:t>
      </w:r>
      <w:r w:rsidRPr="00116AA5">
        <w:rPr>
          <w:rFonts w:ascii="Times New Roman" w:eastAsia="Times New Roman" w:hAnsi="Times New Roman" w:cs="Times New Roman"/>
          <w:color w:val="080000"/>
          <w:sz w:val="28"/>
          <w:szCs w:val="28"/>
          <w:lang w:eastAsia="it-IT"/>
        </w:rPr>
        <w:t>”, non ha snaturato l’istituto dell’assenza per malattia</w:t>
      </w:r>
      <w:r w:rsidRPr="00116AA5">
        <w:rPr>
          <w:rFonts w:ascii="Times New Roman" w:eastAsia="Times New Roman" w:hAnsi="Times New Roman" w:cs="Times New Roman"/>
          <w:color w:val="000000"/>
          <w:sz w:val="28"/>
          <w:szCs w:val="28"/>
          <w:lang w:eastAsia="it-IT"/>
        </w:rPr>
        <w:t xml:space="preserve"> per l'espletamento di visite, terapie, prestazioni specialistiche </w:t>
      </w:r>
      <w:proofErr w:type="gramStart"/>
      <w:r w:rsidRPr="00116AA5">
        <w:rPr>
          <w:rFonts w:ascii="Times New Roman" w:eastAsia="Times New Roman" w:hAnsi="Times New Roman" w:cs="Times New Roman"/>
          <w:color w:val="000000"/>
          <w:sz w:val="28"/>
          <w:szCs w:val="28"/>
          <w:lang w:eastAsia="it-IT"/>
        </w:rPr>
        <w:t>od</w:t>
      </w:r>
      <w:proofErr w:type="gramEnd"/>
      <w:r w:rsidRPr="00116AA5">
        <w:rPr>
          <w:rFonts w:ascii="Times New Roman" w:eastAsia="Times New Roman" w:hAnsi="Times New Roman" w:cs="Times New Roman"/>
          <w:color w:val="000000"/>
          <w:sz w:val="28"/>
          <w:szCs w:val="28"/>
          <w:lang w:eastAsia="it-IT"/>
        </w:rPr>
        <w:t xml:space="preserve"> esami diagnostici, tanto è vero</w:t>
      </w:r>
      <w:r w:rsidRPr="00116AA5">
        <w:rPr>
          <w:rFonts w:ascii="Times New Roman" w:eastAsia="Times New Roman" w:hAnsi="Times New Roman" w:cs="Times New Roman"/>
          <w:color w:val="080000"/>
          <w:sz w:val="28"/>
          <w:szCs w:val="28"/>
          <w:lang w:eastAsia="it-IT"/>
        </w:rPr>
        <w:t> che  l’art. 55-</w:t>
      </w:r>
      <w:r w:rsidRPr="00116AA5">
        <w:rPr>
          <w:rFonts w:ascii="Times New Roman" w:eastAsia="Times New Roman" w:hAnsi="Times New Roman" w:cs="Times New Roman"/>
          <w:i/>
          <w:iCs/>
          <w:color w:val="080000"/>
          <w:sz w:val="28"/>
          <w:szCs w:val="28"/>
          <w:lang w:eastAsia="it-IT"/>
        </w:rPr>
        <w:t>septies</w:t>
      </w:r>
      <w:r w:rsidRPr="00116AA5">
        <w:rPr>
          <w:rFonts w:ascii="Times New Roman" w:eastAsia="Times New Roman" w:hAnsi="Times New Roman" w:cs="Times New Roman"/>
          <w:color w:val="080000"/>
          <w:sz w:val="28"/>
          <w:szCs w:val="28"/>
          <w:lang w:eastAsia="it-IT"/>
        </w:rPr>
        <w:t xml:space="preserve"> continua </w:t>
      </w:r>
      <w:proofErr w:type="gramStart"/>
      <w:r w:rsidRPr="00116AA5">
        <w:rPr>
          <w:rFonts w:ascii="Times New Roman" w:eastAsia="Times New Roman" w:hAnsi="Times New Roman" w:cs="Times New Roman"/>
          <w:color w:val="080000"/>
          <w:sz w:val="28"/>
          <w:szCs w:val="28"/>
          <w:lang w:eastAsia="it-IT"/>
        </w:rPr>
        <w:t>ad</w:t>
      </w:r>
      <w:proofErr w:type="gramEnd"/>
      <w:r w:rsidRPr="00116AA5">
        <w:rPr>
          <w:rFonts w:ascii="Times New Roman" w:eastAsia="Times New Roman" w:hAnsi="Times New Roman" w:cs="Times New Roman"/>
          <w:color w:val="080000"/>
          <w:sz w:val="28"/>
          <w:szCs w:val="28"/>
          <w:lang w:eastAsia="it-IT"/>
        </w:rPr>
        <w:t xml:space="preserve"> essere rubricato </w:t>
      </w:r>
      <w:r w:rsidRPr="00116AA5">
        <w:rPr>
          <w:rFonts w:ascii="Times New Roman" w:eastAsia="Times New Roman" w:hAnsi="Times New Roman" w:cs="Times New Roman"/>
          <w:i/>
          <w:iCs/>
          <w:color w:val="080000"/>
          <w:sz w:val="28"/>
          <w:szCs w:val="28"/>
          <w:lang w:eastAsia="it-IT"/>
        </w:rPr>
        <w:t>“controlli sulle assenze”.</w:t>
      </w:r>
    </w:p>
    <w:p w:rsidR="00116AA5" w:rsidRPr="00116AA5" w:rsidRDefault="00116AA5" w:rsidP="00116AA5">
      <w:pPr>
        <w:spacing w:after="0" w:line="240" w:lineRule="auto"/>
        <w:rPr>
          <w:rFonts w:ascii="Times New Roman" w:eastAsia="Times New Roman" w:hAnsi="Times New Roman" w:cs="Times New Roman"/>
          <w:sz w:val="24"/>
          <w:szCs w:val="24"/>
          <w:lang w:eastAsia="it-IT"/>
        </w:rPr>
      </w:pP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Times New Roman" w:eastAsia="Times New Roman" w:hAnsi="Times New Roman" w:cs="Times New Roman"/>
          <w:color w:val="000000"/>
          <w:sz w:val="28"/>
          <w:szCs w:val="28"/>
          <w:lang w:eastAsia="it-IT"/>
        </w:rPr>
        <w:t xml:space="preserve">Tuttavia, alcune amministrazioni scolastiche, avevano </w:t>
      </w:r>
      <w:proofErr w:type="gramStart"/>
      <w:r w:rsidRPr="00116AA5">
        <w:rPr>
          <w:rFonts w:ascii="Times New Roman" w:eastAsia="Times New Roman" w:hAnsi="Times New Roman" w:cs="Times New Roman"/>
          <w:color w:val="000000"/>
          <w:sz w:val="28"/>
          <w:szCs w:val="28"/>
          <w:lang w:eastAsia="it-IT"/>
        </w:rPr>
        <w:t>recepito</w:t>
      </w:r>
      <w:proofErr w:type="gramEnd"/>
      <w:r w:rsidRPr="00116AA5">
        <w:rPr>
          <w:rFonts w:ascii="Times New Roman" w:eastAsia="Times New Roman" w:hAnsi="Times New Roman" w:cs="Times New Roman"/>
          <w:color w:val="000000"/>
          <w:sz w:val="28"/>
          <w:szCs w:val="28"/>
          <w:lang w:eastAsia="it-IT"/>
        </w:rPr>
        <w:t xml:space="preserve"> la circolare n. 2 ed applicato la norma in maniera errata, limitando il diritto alla tutela della salute dei dipendenti del comparto scuola.</w:t>
      </w: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Times New Roman" w:eastAsia="Times New Roman" w:hAnsi="Times New Roman" w:cs="Times New Roman"/>
          <w:color w:val="000000"/>
          <w:sz w:val="28"/>
          <w:szCs w:val="28"/>
          <w:lang w:eastAsia="it-IT"/>
        </w:rPr>
        <w:t xml:space="preserve">A tal fine, con il messaggio first </w:t>
      </w:r>
      <w:proofErr w:type="spellStart"/>
      <w:r w:rsidRPr="00116AA5">
        <w:rPr>
          <w:rFonts w:ascii="Times New Roman" w:eastAsia="Times New Roman" w:hAnsi="Times New Roman" w:cs="Times New Roman"/>
          <w:color w:val="000000"/>
          <w:sz w:val="28"/>
          <w:szCs w:val="28"/>
          <w:lang w:eastAsia="it-IT"/>
        </w:rPr>
        <w:t>class</w:t>
      </w:r>
      <w:proofErr w:type="spellEnd"/>
      <w:r w:rsidRPr="00116AA5">
        <w:rPr>
          <w:rFonts w:ascii="Times New Roman" w:eastAsia="Times New Roman" w:hAnsi="Times New Roman" w:cs="Times New Roman"/>
          <w:color w:val="000000"/>
          <w:sz w:val="28"/>
          <w:szCs w:val="28"/>
          <w:lang w:eastAsia="it-IT"/>
        </w:rPr>
        <w:t xml:space="preserve"> del 30 aprile 2014, avevamo inviato alle strutture una nota di supporto con uno schema di diffida, utile per quanti fossero stati danneggiati dal Dirigente scolastico rispetto al legittimo utilizzo delle assenze per malattia per l’espletamento delle visite specialistiche.</w:t>
      </w:r>
    </w:p>
    <w:p w:rsidR="00116AA5" w:rsidRPr="00116AA5" w:rsidRDefault="00116AA5" w:rsidP="00116AA5">
      <w:pPr>
        <w:spacing w:after="0" w:line="240" w:lineRule="auto"/>
        <w:rPr>
          <w:rFonts w:ascii="Times New Roman" w:eastAsia="Times New Roman" w:hAnsi="Times New Roman" w:cs="Times New Roman"/>
          <w:sz w:val="24"/>
          <w:szCs w:val="24"/>
          <w:lang w:eastAsia="it-IT"/>
        </w:rPr>
      </w:pP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Times New Roman" w:eastAsia="Times New Roman" w:hAnsi="Times New Roman" w:cs="Times New Roman"/>
          <w:color w:val="000000"/>
          <w:sz w:val="28"/>
          <w:szCs w:val="28"/>
          <w:lang w:eastAsia="it-IT"/>
        </w:rPr>
        <w:t xml:space="preserve">E’ evidente che l’unico modo </w:t>
      </w:r>
      <w:proofErr w:type="gramStart"/>
      <w:r w:rsidRPr="00116AA5">
        <w:rPr>
          <w:rFonts w:ascii="Times New Roman" w:eastAsia="Times New Roman" w:hAnsi="Times New Roman" w:cs="Times New Roman"/>
          <w:color w:val="000000"/>
          <w:sz w:val="28"/>
          <w:szCs w:val="28"/>
          <w:lang w:eastAsia="it-IT"/>
        </w:rPr>
        <w:t>per poter</w:t>
      </w:r>
      <w:proofErr w:type="gramEnd"/>
      <w:r w:rsidRPr="00116AA5">
        <w:rPr>
          <w:rFonts w:ascii="Times New Roman" w:eastAsia="Times New Roman" w:hAnsi="Times New Roman" w:cs="Times New Roman"/>
          <w:color w:val="000000"/>
          <w:sz w:val="28"/>
          <w:szCs w:val="28"/>
          <w:lang w:eastAsia="it-IT"/>
        </w:rPr>
        <w:t xml:space="preserve"> conferire definitivamente chiarezza sul tema era l’intervento, da noi auspicato, di una pronuncia del giudice finalizzata all’annullamento della circolare fonte dei problemi interpretativi.</w:t>
      </w: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Times New Roman" w:eastAsia="Times New Roman" w:hAnsi="Times New Roman" w:cs="Times New Roman"/>
          <w:color w:val="000000"/>
          <w:sz w:val="28"/>
          <w:szCs w:val="28"/>
          <w:lang w:eastAsia="it-IT"/>
        </w:rPr>
        <w:t xml:space="preserve">Il TAR per il Lazio, finalmente, con la sentenza 5714 ha confermato quanto da noi sempre sostenuto, e cioè che vi è una notevole differenza tra i permessi (effettivamente limitati a pochi giorni), le finalità </w:t>
      </w:r>
      <w:proofErr w:type="gramStart"/>
      <w:r w:rsidRPr="00116AA5">
        <w:rPr>
          <w:rFonts w:ascii="Times New Roman" w:eastAsia="Times New Roman" w:hAnsi="Times New Roman" w:cs="Times New Roman"/>
          <w:color w:val="000000"/>
          <w:sz w:val="28"/>
          <w:szCs w:val="28"/>
          <w:lang w:eastAsia="it-IT"/>
        </w:rPr>
        <w:t>ad</w:t>
      </w:r>
      <w:proofErr w:type="gramEnd"/>
      <w:r w:rsidRPr="00116AA5">
        <w:rPr>
          <w:rFonts w:ascii="Times New Roman" w:eastAsia="Times New Roman" w:hAnsi="Times New Roman" w:cs="Times New Roman"/>
          <w:color w:val="000000"/>
          <w:sz w:val="28"/>
          <w:szCs w:val="28"/>
          <w:lang w:eastAsia="it-IT"/>
        </w:rPr>
        <w:t xml:space="preserve"> essi attribuiti dal contratto e le assenze per malattia, nelle quali rientrano le visite specialistiche, le terapie e gli accertamenti diagnostici.</w:t>
      </w:r>
    </w:p>
    <w:p w:rsidR="00116AA5" w:rsidRPr="00116AA5" w:rsidRDefault="00116AA5" w:rsidP="00116AA5">
      <w:pPr>
        <w:spacing w:after="0" w:line="240" w:lineRule="auto"/>
        <w:rPr>
          <w:rFonts w:ascii="Arial" w:eastAsia="Times New Roman" w:hAnsi="Arial" w:cs="Arial"/>
          <w:color w:val="000000"/>
          <w:sz w:val="21"/>
          <w:szCs w:val="21"/>
          <w:lang w:eastAsia="it-IT"/>
        </w:rPr>
      </w:pPr>
      <w:proofErr w:type="gramStart"/>
      <w:r w:rsidRPr="00116AA5">
        <w:rPr>
          <w:rFonts w:ascii="Times New Roman" w:eastAsia="Times New Roman" w:hAnsi="Times New Roman" w:cs="Times New Roman"/>
          <w:color w:val="000000"/>
          <w:sz w:val="28"/>
          <w:szCs w:val="28"/>
          <w:lang w:eastAsia="it-IT"/>
        </w:rPr>
        <w:t>Il concetto importante, chiarito nella sentenza, e da non sottovalutare perché spesso fonte di problemi di non poco rilievo, è quello per cui </w:t>
      </w:r>
      <w:r w:rsidRPr="00116AA5">
        <w:rPr>
          <w:rFonts w:ascii="Times New Roman" w:eastAsia="Times New Roman" w:hAnsi="Times New Roman" w:cs="Times New Roman"/>
          <w:b/>
          <w:bCs/>
          <w:i/>
          <w:iCs/>
          <w:color w:val="000000"/>
          <w:sz w:val="28"/>
          <w:szCs w:val="28"/>
          <w:u w:val="single"/>
          <w:lang w:eastAsia="it-IT"/>
        </w:rPr>
        <w:t>“la circolare, quale fonte “sotto ordinata” alla legge, non poteva introdurre limiti non previsti dalla norma primaria</w:t>
      </w:r>
      <w:r w:rsidRPr="00116AA5">
        <w:rPr>
          <w:rFonts w:ascii="Times New Roman" w:eastAsia="Times New Roman" w:hAnsi="Times New Roman" w:cs="Times New Roman"/>
          <w:i/>
          <w:iCs/>
          <w:color w:val="000000"/>
          <w:sz w:val="28"/>
          <w:szCs w:val="28"/>
          <w:lang w:eastAsia="it-IT"/>
        </w:rPr>
        <w:t>, fermo restando che essa non vincolerebbe la stessa Autorità emanante né potrebbe creare obblighi per sé e per i giudici ponendosi altrimenti in contrasto con l’art</w:t>
      </w:r>
      <w:proofErr w:type="gramEnd"/>
      <w:r w:rsidRPr="00116AA5">
        <w:rPr>
          <w:rFonts w:ascii="Times New Roman" w:eastAsia="Times New Roman" w:hAnsi="Times New Roman" w:cs="Times New Roman"/>
          <w:i/>
          <w:iCs/>
          <w:color w:val="000000"/>
          <w:sz w:val="28"/>
          <w:szCs w:val="28"/>
          <w:lang w:eastAsia="it-IT"/>
        </w:rPr>
        <w:t xml:space="preserve">. </w:t>
      </w:r>
      <w:proofErr w:type="gramStart"/>
      <w:r w:rsidRPr="00116AA5">
        <w:rPr>
          <w:rFonts w:ascii="Times New Roman" w:eastAsia="Times New Roman" w:hAnsi="Times New Roman" w:cs="Times New Roman"/>
          <w:i/>
          <w:iCs/>
          <w:color w:val="000000"/>
          <w:sz w:val="28"/>
          <w:szCs w:val="28"/>
          <w:lang w:eastAsia="it-IT"/>
        </w:rPr>
        <w:t xml:space="preserve">23 della </w:t>
      </w:r>
      <w:proofErr w:type="spellStart"/>
      <w:r w:rsidRPr="00116AA5">
        <w:rPr>
          <w:rFonts w:ascii="Times New Roman" w:eastAsia="Times New Roman" w:hAnsi="Times New Roman" w:cs="Times New Roman"/>
          <w:i/>
          <w:iCs/>
          <w:color w:val="000000"/>
          <w:sz w:val="28"/>
          <w:szCs w:val="28"/>
          <w:lang w:eastAsia="it-IT"/>
        </w:rPr>
        <w:t>Cost</w:t>
      </w:r>
      <w:proofErr w:type="spellEnd"/>
      <w:r w:rsidRPr="00116AA5">
        <w:rPr>
          <w:rFonts w:ascii="Times New Roman" w:eastAsia="Times New Roman" w:hAnsi="Times New Roman" w:cs="Times New Roman"/>
          <w:i/>
          <w:iCs/>
          <w:color w:val="000000"/>
          <w:sz w:val="28"/>
          <w:szCs w:val="28"/>
          <w:lang w:eastAsia="it-IT"/>
        </w:rPr>
        <w:t>.”, </w:t>
      </w:r>
      <w:r w:rsidRPr="00116AA5">
        <w:rPr>
          <w:rFonts w:ascii="Times New Roman" w:eastAsia="Times New Roman" w:hAnsi="Times New Roman" w:cs="Times New Roman"/>
          <w:color w:val="000000"/>
          <w:sz w:val="28"/>
          <w:szCs w:val="28"/>
          <w:u w:val="single"/>
          <w:lang w:eastAsia="it-IT"/>
        </w:rPr>
        <w:t>per cui nessuna prestazione personale o patrimoniale può essere imposta se non in base alla legge.</w:t>
      </w:r>
      <w:proofErr w:type="gramEnd"/>
    </w:p>
    <w:p w:rsidR="00116AA5" w:rsidRPr="00116AA5" w:rsidRDefault="00116AA5" w:rsidP="00116AA5">
      <w:pPr>
        <w:spacing w:after="0" w:line="240" w:lineRule="auto"/>
        <w:rPr>
          <w:rFonts w:ascii="Times New Roman" w:eastAsia="Times New Roman" w:hAnsi="Times New Roman" w:cs="Times New Roman"/>
          <w:sz w:val="24"/>
          <w:szCs w:val="24"/>
          <w:lang w:eastAsia="it-IT"/>
        </w:rPr>
      </w:pP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Times New Roman" w:eastAsia="Times New Roman" w:hAnsi="Times New Roman" w:cs="Times New Roman"/>
          <w:color w:val="000000"/>
          <w:sz w:val="28"/>
          <w:szCs w:val="28"/>
          <w:lang w:eastAsia="it-IT"/>
        </w:rPr>
        <w:t xml:space="preserve">Pertanto il TAR, </w:t>
      </w:r>
      <w:proofErr w:type="gramStart"/>
      <w:r w:rsidRPr="00116AA5">
        <w:rPr>
          <w:rFonts w:ascii="Times New Roman" w:eastAsia="Times New Roman" w:hAnsi="Times New Roman" w:cs="Times New Roman"/>
          <w:color w:val="000000"/>
          <w:sz w:val="28"/>
          <w:szCs w:val="28"/>
          <w:lang w:eastAsia="it-IT"/>
        </w:rPr>
        <w:t>considerato che</w:t>
      </w:r>
      <w:proofErr w:type="gramEnd"/>
      <w:r w:rsidRPr="00116AA5">
        <w:rPr>
          <w:rFonts w:ascii="Times New Roman" w:eastAsia="Times New Roman" w:hAnsi="Times New Roman" w:cs="Times New Roman"/>
          <w:color w:val="000000"/>
          <w:sz w:val="28"/>
          <w:szCs w:val="28"/>
          <w:lang w:eastAsia="it-IT"/>
        </w:rPr>
        <w:t xml:space="preserve"> il</w:t>
      </w:r>
      <w:r w:rsidRPr="00116AA5">
        <w:rPr>
          <w:rFonts w:ascii="Times New Roman" w:eastAsia="Times New Roman" w:hAnsi="Times New Roman" w:cs="Times New Roman"/>
          <w:b/>
          <w:bCs/>
          <w:color w:val="000000"/>
          <w:sz w:val="28"/>
          <w:szCs w:val="28"/>
          <w:lang w:eastAsia="it-IT"/>
        </w:rPr>
        <w:t> legislatore non ha abrogato l’istituto che risulta pienamente applicabile, </w:t>
      </w:r>
      <w:r w:rsidRPr="00116AA5">
        <w:rPr>
          <w:rFonts w:ascii="Times New Roman" w:eastAsia="Times New Roman" w:hAnsi="Times New Roman" w:cs="Times New Roman"/>
          <w:color w:val="000000"/>
          <w:sz w:val="28"/>
          <w:szCs w:val="28"/>
          <w:lang w:eastAsia="it-IT"/>
        </w:rPr>
        <w:t xml:space="preserve">e ritenendo che la materia trova il suo naturale elemento di attuazione nella disciplina contrattuale da rivisitare, e non in atti generali che impongono modifiche unilaterali rispetto a CCNL già sottoscritti, ha accolto il ricorso </w:t>
      </w:r>
      <w:r w:rsidRPr="00116AA5">
        <w:rPr>
          <w:rFonts w:ascii="Times New Roman" w:eastAsia="Times New Roman" w:hAnsi="Times New Roman" w:cs="Times New Roman"/>
          <w:color w:val="000000"/>
          <w:sz w:val="28"/>
          <w:szCs w:val="28"/>
          <w:lang w:eastAsia="it-IT"/>
        </w:rPr>
        <w:lastRenderedPageBreak/>
        <w:t>ed </w:t>
      </w:r>
      <w:r w:rsidRPr="00116AA5">
        <w:rPr>
          <w:rFonts w:ascii="Times New Roman" w:eastAsia="Times New Roman" w:hAnsi="Times New Roman" w:cs="Times New Roman"/>
          <w:b/>
          <w:bCs/>
          <w:color w:val="000000"/>
          <w:sz w:val="28"/>
          <w:szCs w:val="28"/>
          <w:lang w:eastAsia="it-IT"/>
        </w:rPr>
        <w:t>annullato la circolare n. 2/2014 della Funzione Pubblica, poiché limitava illegittimamente il diritto dei lavoratori a tutelare la propria salute</w:t>
      </w:r>
      <w:r w:rsidRPr="00116AA5">
        <w:rPr>
          <w:rFonts w:ascii="Times New Roman" w:eastAsia="Times New Roman" w:hAnsi="Times New Roman" w:cs="Times New Roman"/>
          <w:color w:val="000000"/>
          <w:sz w:val="28"/>
          <w:szCs w:val="28"/>
          <w:lang w:eastAsia="it-IT"/>
        </w:rPr>
        <w:t>.</w:t>
      </w: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Times New Roman" w:eastAsia="Times New Roman" w:hAnsi="Times New Roman" w:cs="Times New Roman"/>
          <w:color w:val="000000"/>
          <w:sz w:val="28"/>
          <w:szCs w:val="28"/>
          <w:lang w:eastAsia="it-IT"/>
        </w:rPr>
        <w:t xml:space="preserve">La decisione del TAR Lazio non fa che confermare che una materia come quella </w:t>
      </w:r>
      <w:proofErr w:type="gramStart"/>
      <w:r w:rsidRPr="00116AA5">
        <w:rPr>
          <w:rFonts w:ascii="Times New Roman" w:eastAsia="Times New Roman" w:hAnsi="Times New Roman" w:cs="Times New Roman"/>
          <w:color w:val="000000"/>
          <w:sz w:val="28"/>
          <w:szCs w:val="28"/>
          <w:lang w:eastAsia="it-IT"/>
        </w:rPr>
        <w:t>afferente</w:t>
      </w:r>
      <w:proofErr w:type="gramEnd"/>
      <w:r w:rsidRPr="00116AA5">
        <w:rPr>
          <w:rFonts w:ascii="Times New Roman" w:eastAsia="Times New Roman" w:hAnsi="Times New Roman" w:cs="Times New Roman"/>
          <w:color w:val="000000"/>
          <w:sz w:val="28"/>
          <w:szCs w:val="28"/>
          <w:lang w:eastAsia="it-IT"/>
        </w:rPr>
        <w:t xml:space="preserve"> le assenze per visite specialistiche (su cui sono in corso trattative all’Aran) debba essere disciplinata dalle norme contrattuali, che sono la fonte legittimata ad intervenire sui diritti di cui al rapporto di lavoro.</w:t>
      </w:r>
    </w:p>
    <w:p w:rsidR="00116AA5" w:rsidRPr="00116AA5" w:rsidRDefault="00116AA5" w:rsidP="00116AA5">
      <w:pPr>
        <w:spacing w:after="0" w:line="240" w:lineRule="auto"/>
        <w:rPr>
          <w:rFonts w:ascii="Arial" w:eastAsia="Times New Roman" w:hAnsi="Arial" w:cs="Arial"/>
          <w:color w:val="000000"/>
          <w:sz w:val="21"/>
          <w:szCs w:val="21"/>
          <w:lang w:eastAsia="it-IT"/>
        </w:rPr>
      </w:pPr>
      <w:proofErr w:type="gramStart"/>
      <w:r w:rsidRPr="00116AA5">
        <w:rPr>
          <w:rFonts w:ascii="Times New Roman" w:eastAsia="Times New Roman" w:hAnsi="Times New Roman" w:cs="Times New Roman"/>
          <w:color w:val="000000"/>
          <w:sz w:val="28"/>
          <w:szCs w:val="28"/>
          <w:lang w:eastAsia="it-IT"/>
        </w:rPr>
        <w:t>A</w:t>
      </w:r>
      <w:proofErr w:type="gramEnd"/>
      <w:r w:rsidRPr="00116AA5">
        <w:rPr>
          <w:rFonts w:ascii="Times New Roman" w:eastAsia="Times New Roman" w:hAnsi="Times New Roman" w:cs="Times New Roman"/>
          <w:color w:val="000000"/>
          <w:sz w:val="28"/>
          <w:szCs w:val="28"/>
          <w:lang w:eastAsia="it-IT"/>
        </w:rPr>
        <w:t xml:space="preserve"> seguito di questa recente pronuncia, a nostro avviso, i Dirigenti scolastici devono tornare a </w:t>
      </w:r>
      <w:proofErr w:type="spellStart"/>
      <w:r w:rsidRPr="00116AA5">
        <w:rPr>
          <w:rFonts w:ascii="Times New Roman" w:eastAsia="Times New Roman" w:hAnsi="Times New Roman" w:cs="Times New Roman"/>
          <w:color w:val="000000"/>
          <w:sz w:val="28"/>
          <w:szCs w:val="28"/>
          <w:lang w:eastAsia="it-IT"/>
        </w:rPr>
        <w:t>concederepot</w:t>
      </w:r>
      <w:proofErr w:type="spellEnd"/>
      <w:r w:rsidRPr="00116AA5">
        <w:rPr>
          <w:rFonts w:ascii="Times New Roman" w:eastAsia="Times New Roman" w:hAnsi="Times New Roman" w:cs="Times New Roman"/>
          <w:color w:val="000000"/>
          <w:sz w:val="28"/>
          <w:szCs w:val="28"/>
          <w:lang w:eastAsia="it-IT"/>
        </w:rPr>
        <w:t xml:space="preserve"> le assenze per malattia al personale che necessiti di sottoporsi a visite specialistiche a tutela di un principio fondamentale quale il diritto alla salute.</w:t>
      </w:r>
    </w:p>
    <w:p w:rsidR="00116AA5" w:rsidRPr="00116AA5" w:rsidRDefault="00116AA5" w:rsidP="00116AA5">
      <w:pPr>
        <w:spacing w:after="0" w:line="240" w:lineRule="auto"/>
        <w:rPr>
          <w:rFonts w:ascii="Times New Roman" w:eastAsia="Times New Roman" w:hAnsi="Times New Roman" w:cs="Times New Roman"/>
          <w:sz w:val="24"/>
          <w:szCs w:val="24"/>
          <w:lang w:eastAsia="it-IT"/>
        </w:rPr>
      </w:pP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Times New Roman" w:eastAsia="Times New Roman" w:hAnsi="Times New Roman" w:cs="Times New Roman"/>
          <w:color w:val="000000"/>
          <w:sz w:val="24"/>
          <w:szCs w:val="24"/>
          <w:lang w:eastAsia="it-IT"/>
        </w:rPr>
        <w:t>In allegato il testo della sentenza.</w:t>
      </w:r>
    </w:p>
    <w:p w:rsidR="00116AA5" w:rsidRPr="00116AA5" w:rsidRDefault="00116AA5" w:rsidP="00116AA5">
      <w:pPr>
        <w:spacing w:after="0" w:line="240" w:lineRule="auto"/>
        <w:rPr>
          <w:rFonts w:ascii="Times New Roman" w:eastAsia="Times New Roman" w:hAnsi="Times New Roman" w:cs="Times New Roman"/>
          <w:sz w:val="24"/>
          <w:szCs w:val="24"/>
          <w:lang w:eastAsia="it-IT"/>
        </w:rPr>
      </w:pP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Times New Roman" w:eastAsia="Times New Roman" w:hAnsi="Times New Roman" w:cs="Times New Roman"/>
          <w:color w:val="000000"/>
          <w:sz w:val="24"/>
          <w:szCs w:val="24"/>
          <w:lang w:eastAsia="it-IT"/>
        </w:rPr>
        <w:t>Un saluto.</w:t>
      </w:r>
    </w:p>
    <w:p w:rsidR="00116AA5" w:rsidRPr="00116AA5" w:rsidRDefault="00116AA5" w:rsidP="00116AA5">
      <w:pPr>
        <w:spacing w:after="0" w:line="240" w:lineRule="auto"/>
        <w:rPr>
          <w:rFonts w:ascii="Times New Roman" w:eastAsia="Times New Roman" w:hAnsi="Times New Roman" w:cs="Times New Roman"/>
          <w:sz w:val="24"/>
          <w:szCs w:val="24"/>
          <w:lang w:eastAsia="it-IT"/>
        </w:rPr>
      </w:pPr>
    </w:p>
    <w:p w:rsidR="00116AA5" w:rsidRPr="00116AA5" w:rsidRDefault="00116AA5" w:rsidP="00116AA5">
      <w:pPr>
        <w:spacing w:after="0" w:line="240" w:lineRule="auto"/>
        <w:rPr>
          <w:rFonts w:ascii="Arial" w:eastAsia="Times New Roman" w:hAnsi="Arial" w:cs="Arial"/>
          <w:color w:val="000000"/>
          <w:sz w:val="21"/>
          <w:szCs w:val="21"/>
          <w:lang w:eastAsia="it-IT"/>
        </w:rPr>
      </w:pPr>
      <w:proofErr w:type="spellStart"/>
      <w:r w:rsidRPr="00116AA5">
        <w:rPr>
          <w:rFonts w:ascii="Times New Roman" w:eastAsia="Times New Roman" w:hAnsi="Times New Roman" w:cs="Times New Roman"/>
          <w:color w:val="000000"/>
          <w:sz w:val="24"/>
          <w:szCs w:val="24"/>
          <w:lang w:eastAsia="it-IT"/>
        </w:rPr>
        <w:t>Fr</w:t>
      </w:r>
      <w:proofErr w:type="spellEnd"/>
      <w:r w:rsidRPr="00116AA5">
        <w:rPr>
          <w:rFonts w:ascii="Times New Roman" w:eastAsia="Times New Roman" w:hAnsi="Times New Roman" w:cs="Times New Roman"/>
          <w:color w:val="000000"/>
          <w:sz w:val="24"/>
          <w:szCs w:val="24"/>
          <w:lang w:eastAsia="it-IT"/>
        </w:rPr>
        <w:t>/</w:t>
      </w:r>
      <w:proofErr w:type="spellStart"/>
      <w:r w:rsidRPr="00116AA5">
        <w:rPr>
          <w:rFonts w:ascii="Times New Roman" w:eastAsia="Times New Roman" w:hAnsi="Times New Roman" w:cs="Times New Roman"/>
          <w:color w:val="000000"/>
          <w:sz w:val="24"/>
          <w:szCs w:val="24"/>
          <w:lang w:eastAsia="it-IT"/>
        </w:rPr>
        <w:t>DCf</w:t>
      </w:r>
      <w:proofErr w:type="spellEnd"/>
      <w:r w:rsidRPr="00116AA5">
        <w:rPr>
          <w:rFonts w:ascii="Times New Roman" w:eastAsia="Times New Roman" w:hAnsi="Times New Roman" w:cs="Times New Roman"/>
          <w:color w:val="000000"/>
          <w:sz w:val="24"/>
          <w:szCs w:val="24"/>
          <w:lang w:eastAsia="it-IT"/>
        </w:rPr>
        <w:t xml:space="preserve">/ </w:t>
      </w:r>
      <w:proofErr w:type="spellStart"/>
      <w:r w:rsidRPr="00116AA5">
        <w:rPr>
          <w:rFonts w:ascii="Times New Roman" w:eastAsia="Times New Roman" w:hAnsi="Times New Roman" w:cs="Times New Roman"/>
          <w:color w:val="000000"/>
          <w:sz w:val="24"/>
          <w:szCs w:val="24"/>
          <w:lang w:eastAsia="it-IT"/>
        </w:rPr>
        <w:t>PB_leg</w:t>
      </w:r>
      <w:proofErr w:type="spellEnd"/>
    </w:p>
    <w:p w:rsidR="00116AA5" w:rsidRPr="00116AA5" w:rsidRDefault="00116AA5" w:rsidP="00116AA5">
      <w:pPr>
        <w:spacing w:after="0" w:line="240" w:lineRule="auto"/>
        <w:rPr>
          <w:rFonts w:ascii="Times New Roman" w:eastAsia="Times New Roman" w:hAnsi="Times New Roman" w:cs="Times New Roman"/>
          <w:sz w:val="24"/>
          <w:szCs w:val="24"/>
          <w:lang w:eastAsia="it-IT"/>
        </w:rPr>
      </w:pP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Arial" w:eastAsia="Times New Roman" w:hAnsi="Arial" w:cs="Arial"/>
          <w:color w:val="000000"/>
          <w:sz w:val="20"/>
          <w:szCs w:val="20"/>
          <w:lang w:eastAsia="it-IT"/>
        </w:rPr>
        <w:t>---------------------------------------------</w:t>
      </w: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Arial" w:eastAsia="Times New Roman" w:hAnsi="Arial" w:cs="Arial"/>
          <w:b/>
          <w:bCs/>
          <w:color w:val="0000DD"/>
          <w:sz w:val="20"/>
          <w:szCs w:val="20"/>
          <w:lang w:eastAsia="it-IT"/>
        </w:rPr>
        <w:t>CISL SCUOLA - SEGRETERIA NAZIONALE</w:t>
      </w: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Arial" w:eastAsia="Times New Roman" w:hAnsi="Arial" w:cs="Arial"/>
          <w:color w:val="000000"/>
          <w:sz w:val="20"/>
          <w:szCs w:val="20"/>
          <w:lang w:eastAsia="it-IT"/>
        </w:rPr>
        <w:t xml:space="preserve">Via </w:t>
      </w:r>
      <w:proofErr w:type="spellStart"/>
      <w:r w:rsidRPr="00116AA5">
        <w:rPr>
          <w:rFonts w:ascii="Arial" w:eastAsia="Times New Roman" w:hAnsi="Arial" w:cs="Arial"/>
          <w:color w:val="000000"/>
          <w:sz w:val="20"/>
          <w:szCs w:val="20"/>
          <w:lang w:eastAsia="it-IT"/>
        </w:rPr>
        <w:t>Bargoni</w:t>
      </w:r>
      <w:proofErr w:type="spellEnd"/>
      <w:r w:rsidRPr="00116AA5">
        <w:rPr>
          <w:rFonts w:ascii="Arial" w:eastAsia="Times New Roman" w:hAnsi="Arial" w:cs="Arial"/>
          <w:color w:val="000000"/>
          <w:sz w:val="20"/>
          <w:szCs w:val="20"/>
          <w:lang w:eastAsia="it-IT"/>
        </w:rPr>
        <w:t>, 8</w:t>
      </w:r>
      <w:proofErr w:type="gramStart"/>
      <w:r w:rsidRPr="00116AA5">
        <w:rPr>
          <w:rFonts w:ascii="Arial" w:eastAsia="Times New Roman" w:hAnsi="Arial" w:cs="Arial"/>
          <w:color w:val="000000"/>
          <w:sz w:val="20"/>
          <w:szCs w:val="20"/>
          <w:lang w:eastAsia="it-IT"/>
        </w:rPr>
        <w:t xml:space="preserve">  </w:t>
      </w:r>
      <w:proofErr w:type="gramEnd"/>
      <w:r w:rsidRPr="00116AA5">
        <w:rPr>
          <w:rFonts w:ascii="Arial" w:eastAsia="Times New Roman" w:hAnsi="Arial" w:cs="Arial"/>
          <w:color w:val="000000"/>
          <w:sz w:val="20"/>
          <w:szCs w:val="20"/>
          <w:lang w:eastAsia="it-IT"/>
        </w:rPr>
        <w:t>00153  Roma - +39 06 583111</w:t>
      </w:r>
    </w:p>
    <w:p w:rsidR="00116AA5" w:rsidRPr="00116AA5" w:rsidRDefault="00116AA5" w:rsidP="00116AA5">
      <w:pPr>
        <w:spacing w:after="0" w:line="240" w:lineRule="auto"/>
        <w:rPr>
          <w:rFonts w:ascii="Arial" w:eastAsia="Times New Roman" w:hAnsi="Arial" w:cs="Arial"/>
          <w:color w:val="000000"/>
          <w:sz w:val="21"/>
          <w:szCs w:val="21"/>
          <w:lang w:eastAsia="it-IT"/>
        </w:rPr>
      </w:pPr>
      <w:r w:rsidRPr="00116AA5">
        <w:rPr>
          <w:rFonts w:ascii="Helvetica" w:eastAsia="Times New Roman" w:hAnsi="Helvetica" w:cs="Helvetica"/>
          <w:color w:val="000000"/>
          <w:sz w:val="18"/>
          <w:szCs w:val="18"/>
          <w:lang w:eastAsia="it-IT"/>
        </w:rPr>
        <w:t>===============================</w:t>
      </w:r>
    </w:p>
    <w:p w:rsidR="00FD7C85" w:rsidRDefault="00FD7C85">
      <w:bookmarkStart w:id="0" w:name="_GoBack"/>
      <w:bookmarkEnd w:id="0"/>
    </w:p>
    <w:sectPr w:rsidR="00FD7C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A5"/>
    <w:rsid w:val="00116AA5"/>
    <w:rsid w:val="00FD7C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70891">
      <w:bodyDiv w:val="1"/>
      <w:marLeft w:val="0"/>
      <w:marRight w:val="0"/>
      <w:marTop w:val="0"/>
      <w:marBottom w:val="0"/>
      <w:divBdr>
        <w:top w:val="none" w:sz="0" w:space="0" w:color="auto"/>
        <w:left w:val="none" w:sz="0" w:space="0" w:color="auto"/>
        <w:bottom w:val="none" w:sz="0" w:space="0" w:color="auto"/>
        <w:right w:val="none" w:sz="0" w:space="0" w:color="auto"/>
      </w:divBdr>
      <w:divsChild>
        <w:div w:id="348455260">
          <w:marLeft w:val="0"/>
          <w:marRight w:val="0"/>
          <w:marTop w:val="30"/>
          <w:marBottom w:val="0"/>
          <w:divBdr>
            <w:top w:val="none" w:sz="0" w:space="0" w:color="auto"/>
            <w:left w:val="none" w:sz="0" w:space="0" w:color="auto"/>
            <w:bottom w:val="none" w:sz="0" w:space="0" w:color="auto"/>
            <w:right w:val="none" w:sz="0" w:space="0" w:color="auto"/>
          </w:divBdr>
        </w:div>
        <w:div w:id="599483531">
          <w:marLeft w:val="0"/>
          <w:marRight w:val="0"/>
          <w:marTop w:val="30"/>
          <w:marBottom w:val="0"/>
          <w:divBdr>
            <w:top w:val="none" w:sz="0" w:space="0" w:color="auto"/>
            <w:left w:val="none" w:sz="0" w:space="0" w:color="auto"/>
            <w:bottom w:val="none" w:sz="0" w:space="0" w:color="auto"/>
            <w:right w:val="none" w:sz="0" w:space="0" w:color="auto"/>
          </w:divBdr>
        </w:div>
        <w:div w:id="1552231768">
          <w:marLeft w:val="0"/>
          <w:marRight w:val="0"/>
          <w:marTop w:val="30"/>
          <w:marBottom w:val="0"/>
          <w:divBdr>
            <w:top w:val="none" w:sz="0" w:space="0" w:color="auto"/>
            <w:left w:val="none" w:sz="0" w:space="0" w:color="auto"/>
            <w:bottom w:val="none" w:sz="0" w:space="0" w:color="auto"/>
            <w:right w:val="none" w:sz="0" w:space="0" w:color="auto"/>
          </w:divBdr>
        </w:div>
        <w:div w:id="439378349">
          <w:marLeft w:val="0"/>
          <w:marRight w:val="0"/>
          <w:marTop w:val="30"/>
          <w:marBottom w:val="0"/>
          <w:divBdr>
            <w:top w:val="none" w:sz="0" w:space="0" w:color="auto"/>
            <w:left w:val="none" w:sz="0" w:space="0" w:color="auto"/>
            <w:bottom w:val="none" w:sz="0" w:space="0" w:color="auto"/>
            <w:right w:val="none" w:sz="0" w:space="0" w:color="auto"/>
          </w:divBdr>
        </w:div>
        <w:div w:id="1065763147">
          <w:marLeft w:val="0"/>
          <w:marRight w:val="0"/>
          <w:marTop w:val="30"/>
          <w:marBottom w:val="0"/>
          <w:divBdr>
            <w:top w:val="none" w:sz="0" w:space="0" w:color="auto"/>
            <w:left w:val="none" w:sz="0" w:space="0" w:color="auto"/>
            <w:bottom w:val="none" w:sz="0" w:space="0" w:color="auto"/>
            <w:right w:val="none" w:sz="0" w:space="0" w:color="auto"/>
          </w:divBdr>
        </w:div>
        <w:div w:id="1798984812">
          <w:marLeft w:val="0"/>
          <w:marRight w:val="0"/>
          <w:marTop w:val="30"/>
          <w:marBottom w:val="0"/>
          <w:divBdr>
            <w:top w:val="none" w:sz="0" w:space="0" w:color="auto"/>
            <w:left w:val="none" w:sz="0" w:space="0" w:color="auto"/>
            <w:bottom w:val="none" w:sz="0" w:space="0" w:color="auto"/>
            <w:right w:val="none" w:sz="0" w:space="0" w:color="auto"/>
          </w:divBdr>
        </w:div>
        <w:div w:id="1551847040">
          <w:marLeft w:val="0"/>
          <w:marRight w:val="0"/>
          <w:marTop w:val="30"/>
          <w:marBottom w:val="0"/>
          <w:divBdr>
            <w:top w:val="none" w:sz="0" w:space="0" w:color="auto"/>
            <w:left w:val="none" w:sz="0" w:space="0" w:color="auto"/>
            <w:bottom w:val="none" w:sz="0" w:space="0" w:color="auto"/>
            <w:right w:val="none" w:sz="0" w:space="0" w:color="auto"/>
          </w:divBdr>
        </w:div>
        <w:div w:id="589431585">
          <w:marLeft w:val="0"/>
          <w:marRight w:val="0"/>
          <w:marTop w:val="30"/>
          <w:marBottom w:val="0"/>
          <w:divBdr>
            <w:top w:val="none" w:sz="0" w:space="0" w:color="auto"/>
            <w:left w:val="none" w:sz="0" w:space="0" w:color="auto"/>
            <w:bottom w:val="none" w:sz="0" w:space="0" w:color="auto"/>
            <w:right w:val="none" w:sz="0" w:space="0" w:color="auto"/>
          </w:divBdr>
        </w:div>
        <w:div w:id="612787931">
          <w:marLeft w:val="0"/>
          <w:marRight w:val="0"/>
          <w:marTop w:val="30"/>
          <w:marBottom w:val="0"/>
          <w:divBdr>
            <w:top w:val="none" w:sz="0" w:space="0" w:color="auto"/>
            <w:left w:val="none" w:sz="0" w:space="0" w:color="auto"/>
            <w:bottom w:val="none" w:sz="0" w:space="0" w:color="auto"/>
            <w:right w:val="none" w:sz="0" w:space="0" w:color="auto"/>
          </w:divBdr>
        </w:div>
        <w:div w:id="2062897314">
          <w:marLeft w:val="0"/>
          <w:marRight w:val="0"/>
          <w:marTop w:val="30"/>
          <w:marBottom w:val="0"/>
          <w:divBdr>
            <w:top w:val="none" w:sz="0" w:space="0" w:color="auto"/>
            <w:left w:val="none" w:sz="0" w:space="0" w:color="auto"/>
            <w:bottom w:val="none" w:sz="0" w:space="0" w:color="auto"/>
            <w:right w:val="none" w:sz="0" w:space="0" w:color="auto"/>
          </w:divBdr>
        </w:div>
        <w:div w:id="741657">
          <w:marLeft w:val="0"/>
          <w:marRight w:val="0"/>
          <w:marTop w:val="30"/>
          <w:marBottom w:val="0"/>
          <w:divBdr>
            <w:top w:val="none" w:sz="0" w:space="0" w:color="auto"/>
            <w:left w:val="none" w:sz="0" w:space="0" w:color="auto"/>
            <w:bottom w:val="none" w:sz="0" w:space="0" w:color="auto"/>
            <w:right w:val="none" w:sz="0" w:space="0" w:color="auto"/>
          </w:divBdr>
        </w:div>
        <w:div w:id="1056710078">
          <w:marLeft w:val="0"/>
          <w:marRight w:val="0"/>
          <w:marTop w:val="30"/>
          <w:marBottom w:val="0"/>
          <w:divBdr>
            <w:top w:val="none" w:sz="0" w:space="0" w:color="auto"/>
            <w:left w:val="none" w:sz="0" w:space="0" w:color="auto"/>
            <w:bottom w:val="none" w:sz="0" w:space="0" w:color="auto"/>
            <w:right w:val="none" w:sz="0" w:space="0" w:color="auto"/>
          </w:divBdr>
        </w:div>
        <w:div w:id="18900627">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 Monticelli</dc:creator>
  <cp:lastModifiedBy>Tonia Monticelli</cp:lastModifiedBy>
  <cp:revision>1</cp:revision>
  <dcterms:created xsi:type="dcterms:W3CDTF">2015-04-21T13:56:00Z</dcterms:created>
  <dcterms:modified xsi:type="dcterms:W3CDTF">2015-04-21T13:56:00Z</dcterms:modified>
</cp:coreProperties>
</file>